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F04D" w14:textId="77777777" w:rsidR="00431C78" w:rsidRPr="004967E4" w:rsidRDefault="00431C78" w:rsidP="00431C78">
      <w:pPr>
        <w:rPr>
          <w:rFonts w:ascii="Arial" w:hAnsi="Arial" w:cs="Arial"/>
          <w:sz w:val="20"/>
          <w:szCs w:val="20"/>
        </w:rPr>
      </w:pPr>
      <w:r w:rsidRPr="004967E4">
        <w:rPr>
          <w:rFonts w:ascii="Arial" w:hAnsi="Arial" w:cs="Arial"/>
          <w:b/>
          <w:bCs/>
          <w:sz w:val="20"/>
          <w:szCs w:val="20"/>
        </w:rPr>
        <w:t>Title:</w:t>
      </w:r>
      <w:r w:rsidRPr="004967E4">
        <w:rPr>
          <w:rFonts w:ascii="Arial" w:hAnsi="Arial" w:cs="Arial"/>
          <w:sz w:val="20"/>
          <w:szCs w:val="20"/>
        </w:rPr>
        <w:t xml:space="preserve"> </w:t>
      </w:r>
      <w:r w:rsidRPr="004967E4">
        <w:rPr>
          <w:rFonts w:ascii="Arial" w:hAnsi="Arial" w:cs="Arial"/>
          <w:b/>
          <w:bCs/>
          <w:sz w:val="20"/>
          <w:szCs w:val="20"/>
        </w:rPr>
        <w:t>Identification and quantification of potentially hazardous chemicals emitted by Consumer 3D printers.</w:t>
      </w:r>
    </w:p>
    <w:tbl>
      <w:tblPr>
        <w:tblW w:w="9600" w:type="dxa"/>
        <w:shd w:val="clear" w:color="auto" w:fill="FFFFFF"/>
        <w:tblCellMar>
          <w:left w:w="0" w:type="dxa"/>
          <w:right w:w="0" w:type="dxa"/>
        </w:tblCellMar>
        <w:tblLook w:val="04A0" w:firstRow="1" w:lastRow="0" w:firstColumn="1" w:lastColumn="0" w:noHBand="0" w:noVBand="1"/>
      </w:tblPr>
      <w:tblGrid>
        <w:gridCol w:w="9600"/>
      </w:tblGrid>
      <w:tr w:rsidR="00431C78" w:rsidRPr="004967E4" w14:paraId="2C861E70" w14:textId="77777777" w:rsidTr="00431C78">
        <w:tc>
          <w:tcPr>
            <w:tcW w:w="0" w:type="auto"/>
            <w:shd w:val="clear" w:color="auto" w:fill="FFFFFF"/>
            <w:tcMar>
              <w:top w:w="15" w:type="dxa"/>
              <w:left w:w="15" w:type="dxa"/>
              <w:bottom w:w="15" w:type="dxa"/>
              <w:right w:w="15" w:type="dxa"/>
            </w:tcMar>
            <w:vAlign w:val="center"/>
          </w:tcPr>
          <w:p w14:paraId="7F229B3A" w14:textId="77777777" w:rsidR="00431C78" w:rsidRPr="004967E4" w:rsidRDefault="00431C78">
            <w:pPr>
              <w:rPr>
                <w:rFonts w:ascii="Arial" w:hAnsi="Arial" w:cs="Arial"/>
                <w:b/>
                <w:bCs/>
                <w:color w:val="000000"/>
                <w:sz w:val="20"/>
                <w:szCs w:val="20"/>
                <w14:ligatures w14:val="none"/>
              </w:rPr>
            </w:pPr>
          </w:p>
          <w:p w14:paraId="6DA9F76E" w14:textId="77777777" w:rsidR="00431C78" w:rsidRPr="004967E4" w:rsidRDefault="00431C78">
            <w:pPr>
              <w:rPr>
                <w:rFonts w:ascii="Arial" w:hAnsi="Arial" w:cs="Arial"/>
                <w:color w:val="000000"/>
                <w:sz w:val="20"/>
                <w:szCs w:val="20"/>
                <w14:ligatures w14:val="none"/>
              </w:rPr>
            </w:pPr>
            <w:r w:rsidRPr="004967E4">
              <w:rPr>
                <w:rFonts w:ascii="Arial" w:hAnsi="Arial" w:cs="Arial"/>
                <w:b/>
                <w:bCs/>
                <w:color w:val="000000"/>
                <w:sz w:val="20"/>
                <w:szCs w:val="20"/>
                <w14:ligatures w14:val="none"/>
              </w:rPr>
              <w:t xml:space="preserve">AUTHORS: </w:t>
            </w:r>
            <w:r w:rsidRPr="004967E4">
              <w:rPr>
                <w:rFonts w:ascii="Arial" w:hAnsi="Arial" w:cs="Arial"/>
                <w:color w:val="000000"/>
                <w:sz w:val="20"/>
                <w:szCs w:val="20"/>
                <w:u w:val="single"/>
                <w14:ligatures w14:val="none"/>
              </w:rPr>
              <w:t>Nicholas Williams</w:t>
            </w:r>
            <w:r w:rsidRPr="004967E4">
              <w:rPr>
                <w:rFonts w:ascii="Arial" w:hAnsi="Arial" w:cs="Arial"/>
                <w:color w:val="000000"/>
                <w:sz w:val="20"/>
                <w:szCs w:val="20"/>
                <w:vertAlign w:val="superscript"/>
                <w14:ligatures w14:val="none"/>
              </w:rPr>
              <w:t>1</w:t>
            </w:r>
            <w:r w:rsidRPr="004967E4">
              <w:rPr>
                <w:rFonts w:ascii="Arial" w:hAnsi="Arial" w:cs="Arial"/>
                <w:color w:val="000000"/>
                <w:sz w:val="20"/>
                <w:szCs w:val="20"/>
                <w14:ligatures w14:val="none"/>
              </w:rPr>
              <w:t>, Justin Miller-Schulze</w:t>
            </w:r>
            <w:r w:rsidRPr="004967E4">
              <w:rPr>
                <w:rFonts w:ascii="Arial" w:hAnsi="Arial" w:cs="Arial"/>
                <w:color w:val="000000"/>
                <w:sz w:val="20"/>
                <w:szCs w:val="20"/>
                <w:vertAlign w:val="superscript"/>
                <w14:ligatures w14:val="none"/>
              </w:rPr>
              <w:t>1</w:t>
            </w:r>
            <w:r w:rsidRPr="004967E4">
              <w:rPr>
                <w:rFonts w:ascii="Arial" w:hAnsi="Arial" w:cs="Arial"/>
                <w:color w:val="000000"/>
                <w:sz w:val="20"/>
                <w:szCs w:val="20"/>
                <w14:ligatures w14:val="none"/>
              </w:rPr>
              <w:t>, Susan Crawford</w:t>
            </w:r>
            <w:r w:rsidRPr="004967E4">
              <w:rPr>
                <w:rFonts w:ascii="Arial" w:hAnsi="Arial" w:cs="Arial"/>
                <w:color w:val="000000"/>
                <w:sz w:val="20"/>
                <w:szCs w:val="20"/>
                <w:vertAlign w:val="superscript"/>
                <w14:ligatures w14:val="none"/>
              </w:rPr>
              <w:t>1</w:t>
            </w:r>
          </w:p>
        </w:tc>
      </w:tr>
      <w:tr w:rsidR="00431C78" w:rsidRPr="004967E4" w14:paraId="2D6A2666" w14:textId="77777777" w:rsidTr="00431C78">
        <w:tc>
          <w:tcPr>
            <w:tcW w:w="0" w:type="auto"/>
            <w:shd w:val="clear" w:color="auto" w:fill="FFFFFF"/>
            <w:tcMar>
              <w:top w:w="15" w:type="dxa"/>
              <w:left w:w="15" w:type="dxa"/>
              <w:bottom w:w="15" w:type="dxa"/>
              <w:right w:w="15" w:type="dxa"/>
            </w:tcMar>
            <w:vAlign w:val="center"/>
          </w:tcPr>
          <w:p w14:paraId="304A82AF" w14:textId="77777777" w:rsidR="00431C78" w:rsidRPr="004967E4" w:rsidRDefault="00431C78">
            <w:pPr>
              <w:rPr>
                <w:rFonts w:ascii="Arial" w:hAnsi="Arial" w:cs="Arial"/>
                <w:b/>
                <w:bCs/>
                <w:color w:val="000000"/>
                <w:sz w:val="20"/>
                <w:szCs w:val="20"/>
                <w14:ligatures w14:val="none"/>
              </w:rPr>
            </w:pPr>
          </w:p>
          <w:p w14:paraId="35843ECE" w14:textId="77777777" w:rsidR="00431C78" w:rsidRPr="004967E4" w:rsidRDefault="00431C78">
            <w:pPr>
              <w:rPr>
                <w:rFonts w:ascii="Arial" w:hAnsi="Arial" w:cs="Arial"/>
                <w:color w:val="000000"/>
                <w:sz w:val="20"/>
                <w:szCs w:val="20"/>
                <w14:ligatures w14:val="none"/>
              </w:rPr>
            </w:pPr>
            <w:r w:rsidRPr="004967E4">
              <w:rPr>
                <w:rFonts w:ascii="Arial" w:hAnsi="Arial" w:cs="Arial"/>
                <w:b/>
                <w:bCs/>
                <w:color w:val="000000"/>
                <w:sz w:val="20"/>
                <w:szCs w:val="20"/>
                <w14:ligatures w14:val="none"/>
              </w:rPr>
              <w:t xml:space="preserve">INSTITUTIONS: </w:t>
            </w:r>
            <w:r w:rsidRPr="004967E4">
              <w:rPr>
                <w:rFonts w:ascii="Arial" w:hAnsi="Arial" w:cs="Arial"/>
                <w:color w:val="000000"/>
                <w:sz w:val="20"/>
                <w:szCs w:val="20"/>
                <w14:ligatures w14:val="none"/>
              </w:rPr>
              <w:t>Chemistry, California State University Sacramento, Sacramento, CA, United States.</w:t>
            </w:r>
          </w:p>
        </w:tc>
      </w:tr>
      <w:tr w:rsidR="00431C78" w:rsidRPr="004967E4" w14:paraId="52391B48" w14:textId="77777777" w:rsidTr="00431C78">
        <w:tc>
          <w:tcPr>
            <w:tcW w:w="0" w:type="auto"/>
            <w:shd w:val="clear" w:color="auto" w:fill="FFFFFF"/>
            <w:tcMar>
              <w:top w:w="15" w:type="dxa"/>
              <w:left w:w="15" w:type="dxa"/>
              <w:bottom w:w="15" w:type="dxa"/>
              <w:right w:w="15" w:type="dxa"/>
            </w:tcMar>
            <w:vAlign w:val="center"/>
          </w:tcPr>
          <w:p w14:paraId="5C4FEE6B" w14:textId="77777777" w:rsidR="00431C78" w:rsidRPr="004967E4" w:rsidRDefault="00431C78">
            <w:pPr>
              <w:rPr>
                <w:rFonts w:ascii="Arial" w:hAnsi="Arial" w:cs="Arial"/>
                <w:b/>
                <w:bCs/>
                <w:color w:val="000000"/>
                <w:sz w:val="20"/>
                <w:szCs w:val="20"/>
                <w14:ligatures w14:val="none"/>
              </w:rPr>
            </w:pPr>
          </w:p>
          <w:p w14:paraId="017A7723" w14:textId="77777777" w:rsidR="00431C78" w:rsidRPr="004967E4" w:rsidRDefault="00431C78">
            <w:pPr>
              <w:rPr>
                <w:rFonts w:ascii="Arial" w:hAnsi="Arial" w:cs="Arial"/>
                <w:color w:val="000000"/>
                <w:sz w:val="20"/>
                <w:szCs w:val="20"/>
                <w14:ligatures w14:val="none"/>
              </w:rPr>
            </w:pPr>
            <w:r w:rsidRPr="004967E4">
              <w:rPr>
                <w:rFonts w:ascii="Arial" w:hAnsi="Arial" w:cs="Arial"/>
                <w:b/>
                <w:bCs/>
                <w:color w:val="000000"/>
                <w:sz w:val="20"/>
                <w:szCs w:val="20"/>
                <w14:ligatures w14:val="none"/>
              </w:rPr>
              <w:t xml:space="preserve">Abstract: </w:t>
            </w:r>
            <w:r w:rsidRPr="004967E4">
              <w:rPr>
                <w:rFonts w:ascii="Arial" w:hAnsi="Arial" w:cs="Arial"/>
                <w:color w:val="000000"/>
                <w:sz w:val="20"/>
                <w:szCs w:val="20"/>
                <w14:ligatures w14:val="none"/>
              </w:rPr>
              <w:t>Additive manufacturing, or “3D printing” is a method of fabricating three dimensional objects in a layer-by-layer fashion using a computer-generated file as a blueprint and a small printing device for construction. Previously limited to the medical and manufacturing sectors, 3D printing technology is now widely used by hobbyists. One of the more prominent and less studied forms of printing is masked stereolithography (</w:t>
            </w:r>
            <w:proofErr w:type="spellStart"/>
            <w:r w:rsidRPr="004967E4">
              <w:rPr>
                <w:rFonts w:ascii="Arial" w:hAnsi="Arial" w:cs="Arial"/>
                <w:color w:val="000000"/>
                <w:sz w:val="20"/>
                <w:szCs w:val="20"/>
                <w14:ligatures w14:val="none"/>
              </w:rPr>
              <w:t>mSLA</w:t>
            </w:r>
            <w:proofErr w:type="spellEnd"/>
            <w:r w:rsidRPr="004967E4">
              <w:rPr>
                <w:rFonts w:ascii="Arial" w:hAnsi="Arial" w:cs="Arial"/>
                <w:color w:val="000000"/>
                <w:sz w:val="20"/>
                <w:szCs w:val="20"/>
                <w14:ligatures w14:val="none"/>
              </w:rPr>
              <w:t xml:space="preserve">). The process employed by </w:t>
            </w:r>
            <w:proofErr w:type="spellStart"/>
            <w:r w:rsidRPr="004967E4">
              <w:rPr>
                <w:rFonts w:ascii="Arial" w:hAnsi="Arial" w:cs="Arial"/>
                <w:color w:val="000000"/>
                <w:sz w:val="20"/>
                <w:szCs w:val="20"/>
                <w14:ligatures w14:val="none"/>
              </w:rPr>
              <w:t>mSLA</w:t>
            </w:r>
            <w:proofErr w:type="spellEnd"/>
            <w:r w:rsidRPr="004967E4">
              <w:rPr>
                <w:rFonts w:ascii="Arial" w:hAnsi="Arial" w:cs="Arial"/>
                <w:color w:val="000000"/>
                <w:sz w:val="20"/>
                <w:szCs w:val="20"/>
                <w14:ligatures w14:val="none"/>
              </w:rPr>
              <w:t xml:space="preserve"> involves ultraviolet light-catalyzed polymerization of proprietary resin formulations which emit compounds into the headspace that may pose a risk to the operator. To identify and quantify the compounds in the emission, a chamber was </w:t>
            </w:r>
            <w:proofErr w:type="gramStart"/>
            <w:r w:rsidRPr="004967E4">
              <w:rPr>
                <w:rFonts w:ascii="Arial" w:hAnsi="Arial" w:cs="Arial"/>
                <w:color w:val="000000"/>
                <w:sz w:val="20"/>
                <w:szCs w:val="20"/>
                <w14:ligatures w14:val="none"/>
              </w:rPr>
              <w:t>constructed</w:t>
            </w:r>
            <w:proofErr w:type="gramEnd"/>
            <w:r w:rsidRPr="004967E4">
              <w:rPr>
                <w:rFonts w:ascii="Arial" w:hAnsi="Arial" w:cs="Arial"/>
                <w:color w:val="000000"/>
                <w:sz w:val="20"/>
                <w:szCs w:val="20"/>
                <w14:ligatures w14:val="none"/>
              </w:rPr>
              <w:t xml:space="preserve"> and the gas volume of this chamber was pulled through polyurethane foam (PUF) media. The PUF media was extracted with dichloromethane. For the purposes of identification, the extracts were analyzed by Gas Chromatography- Mass Spectrometry. With the assistance of spectral database matching and standards analysis, five compounds have been identified: 2-Hydroxyethyl Acrylate, 4-Acryloylmorpholine, Mesityl Aldehyde, Tolylene-2,4-Diisocyanate and 2,6-Di-tert-butyl-p-cresol. For the purposes of quantification, GC-Flame Ionization Detection (GC-FID) was used. Four printing phases were assessed separately: pre-printing, during printing, wash phase, and the curing phase. Surprisingly, the pre-printing phase generated similar emissions levels (20μg-3715μg) to the during phase (15μg- 6453μg).</w:t>
            </w:r>
          </w:p>
        </w:tc>
      </w:tr>
    </w:tbl>
    <w:p w14:paraId="73D88161" w14:textId="77777777" w:rsidR="00431C78" w:rsidRPr="004967E4" w:rsidRDefault="00431C78" w:rsidP="00431C78">
      <w:pPr>
        <w:rPr>
          <w:rFonts w:ascii="Arial" w:hAnsi="Arial" w:cs="Arial"/>
          <w:sz w:val="20"/>
          <w:szCs w:val="20"/>
        </w:rPr>
      </w:pPr>
    </w:p>
    <w:p w14:paraId="5662249D" w14:textId="43B107A0" w:rsidR="00365F3A" w:rsidRPr="004967E4" w:rsidRDefault="00431C78">
      <w:pPr>
        <w:rPr>
          <w:rFonts w:ascii="Arial" w:hAnsi="Arial" w:cs="Arial"/>
          <w:sz w:val="20"/>
          <w:szCs w:val="20"/>
        </w:rPr>
      </w:pPr>
      <w:r w:rsidRPr="004967E4">
        <w:rPr>
          <w:rFonts w:ascii="Arial" w:hAnsi="Arial" w:cs="Arial"/>
          <w:sz w:val="20"/>
          <w:szCs w:val="20"/>
        </w:rPr>
        <w:t xml:space="preserve">POSTER session preferred, main author is </w:t>
      </w:r>
      <w:proofErr w:type="gramStart"/>
      <w:r w:rsidRPr="004967E4">
        <w:rPr>
          <w:rFonts w:ascii="Arial" w:hAnsi="Arial" w:cs="Arial"/>
          <w:sz w:val="20"/>
          <w:szCs w:val="20"/>
        </w:rPr>
        <w:t xml:space="preserve">a </w:t>
      </w:r>
      <w:r w:rsidRPr="004967E4">
        <w:rPr>
          <w:rFonts w:ascii="Arial" w:hAnsi="Arial" w:cs="Arial"/>
          <w:sz w:val="20"/>
          <w:szCs w:val="20"/>
        </w:rPr>
        <w:t xml:space="preserve"> graduate</w:t>
      </w:r>
      <w:proofErr w:type="gramEnd"/>
      <w:r w:rsidRPr="004967E4">
        <w:rPr>
          <w:rFonts w:ascii="Arial" w:hAnsi="Arial" w:cs="Arial"/>
          <w:sz w:val="20"/>
          <w:szCs w:val="20"/>
        </w:rPr>
        <w:t xml:space="preserve"> student.</w:t>
      </w:r>
    </w:p>
    <w:sectPr w:rsidR="00365F3A" w:rsidRPr="00496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78"/>
    <w:rsid w:val="00431C78"/>
    <w:rsid w:val="004967E4"/>
    <w:rsid w:val="007E124A"/>
    <w:rsid w:val="00C5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F2E0"/>
  <w15:chartTrackingRefBased/>
  <w15:docId w15:val="{1FA236D4-3865-46B4-B026-57BF0447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C78"/>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6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1574</Characters>
  <Application>Microsoft Office Word</Application>
  <DocSecurity>0</DocSecurity>
  <Lines>13</Lines>
  <Paragraphs>3</Paragraphs>
  <ScaleCrop>false</ScaleCrop>
  <Company>California Air Resources Board</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Nicholas@ARB</dc:creator>
  <cp:keywords/>
  <dc:description/>
  <cp:lastModifiedBy>Williams, Nicholas@ARB</cp:lastModifiedBy>
  <cp:revision>2</cp:revision>
  <dcterms:created xsi:type="dcterms:W3CDTF">2023-07-26T19:45:00Z</dcterms:created>
  <dcterms:modified xsi:type="dcterms:W3CDTF">2023-07-26T19:48:00Z</dcterms:modified>
</cp:coreProperties>
</file>